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368" w:rsidRDefault="00E06368">
      <w:pPr>
        <w:keepNext/>
        <w:pBdr>
          <w:top w:val="nil"/>
          <w:left w:val="nil"/>
          <w:bottom w:val="nil"/>
          <w:right w:val="nil"/>
          <w:between w:val="nil"/>
        </w:pBdr>
        <w:spacing w:after="240" w:line="240" w:lineRule="auto"/>
        <w:jc w:val="both"/>
        <w:rPr>
          <w:rFonts w:ascii="Arial" w:eastAsia="Arial" w:hAnsi="Arial" w:cs="Arial"/>
          <w:b/>
          <w:color w:val="000000"/>
          <w:sz w:val="36"/>
          <w:szCs w:val="36"/>
        </w:rPr>
      </w:pPr>
    </w:p>
    <w:p w:rsidR="00E06368" w:rsidRDefault="00203C43">
      <w:pPr>
        <w:keepNext/>
        <w:pBdr>
          <w:top w:val="nil"/>
          <w:left w:val="nil"/>
          <w:bottom w:val="nil"/>
          <w:right w:val="nil"/>
          <w:between w:val="nil"/>
        </w:pBdr>
        <w:spacing w:after="240" w:line="240" w:lineRule="auto"/>
        <w:jc w:val="both"/>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E06368" w:rsidRDefault="00203C43">
      <w:pPr>
        <w:numPr>
          <w:ilvl w:val="0"/>
          <w:numId w:val="2"/>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E06368">
        <w:tc>
          <w:tcPr>
            <w:tcW w:w="2410" w:type="dxa"/>
            <w:shd w:val="clear" w:color="auto" w:fill="auto"/>
          </w:tcPr>
          <w:p w:rsidR="00E06368" w:rsidRDefault="00E06368">
            <w:pPr>
              <w:pBdr>
                <w:top w:val="nil"/>
                <w:left w:val="nil"/>
                <w:bottom w:val="nil"/>
                <w:right w:val="nil"/>
                <w:between w:val="nil"/>
              </w:pBdr>
              <w:spacing w:after="120" w:line="240" w:lineRule="auto"/>
              <w:ind w:left="-108"/>
              <w:jc w:val="both"/>
              <w:rPr>
                <w:rFonts w:ascii="Arial" w:eastAsia="Arial" w:hAnsi="Arial" w:cs="Arial"/>
                <w:b/>
                <w:color w:val="000000"/>
                <w:sz w:val="24"/>
                <w:szCs w:val="24"/>
              </w:rPr>
            </w:pPr>
          </w:p>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p w:rsidR="00E06368" w:rsidRDefault="00E06368">
            <w:pPr>
              <w:pBdr>
                <w:top w:val="nil"/>
                <w:left w:val="nil"/>
                <w:bottom w:val="nil"/>
                <w:right w:val="nil"/>
                <w:between w:val="nil"/>
              </w:pBdr>
              <w:spacing w:after="120" w:line="240" w:lineRule="auto"/>
              <w:ind w:left="-108"/>
              <w:jc w:val="both"/>
              <w:rPr>
                <w:rFonts w:ascii="Arial" w:eastAsia="Arial" w:hAnsi="Arial" w:cs="Arial"/>
                <w:b/>
                <w:color w:val="000000"/>
                <w:sz w:val="24"/>
                <w:szCs w:val="24"/>
              </w:rPr>
            </w:pPr>
          </w:p>
        </w:tc>
        <w:tc>
          <w:tcPr>
            <w:tcW w:w="5953" w:type="dxa"/>
            <w:shd w:val="clear" w:color="auto" w:fill="auto"/>
          </w:tcPr>
          <w:p w:rsidR="00E06368" w:rsidRDefault="00E06368">
            <w:pPr>
              <w:pBdr>
                <w:top w:val="nil"/>
                <w:left w:val="nil"/>
                <w:bottom w:val="nil"/>
                <w:right w:val="nil"/>
                <w:between w:val="nil"/>
              </w:pBdr>
              <w:tabs>
                <w:tab w:val="left" w:pos="-9"/>
                <w:tab w:val="left" w:pos="-179"/>
              </w:tabs>
              <w:spacing w:after="120" w:line="240" w:lineRule="auto"/>
              <w:ind w:left="170" w:hanging="170"/>
              <w:jc w:val="both"/>
              <w:rPr>
                <w:rFonts w:ascii="Arial" w:eastAsia="Arial" w:hAnsi="Arial" w:cs="Arial"/>
                <w:color w:val="000000"/>
                <w:sz w:val="24"/>
                <w:szCs w:val="24"/>
              </w:rPr>
            </w:pPr>
          </w:p>
          <w:p w:rsidR="00E06368" w:rsidRDefault="00203C43">
            <w:pPr>
              <w:pBdr>
                <w:top w:val="nil"/>
                <w:left w:val="nil"/>
                <w:bottom w:val="nil"/>
                <w:right w:val="nil"/>
                <w:between w:val="nil"/>
              </w:pBdr>
              <w:tabs>
                <w:tab w:val="left" w:pos="-9"/>
                <w:tab w:val="left" w:pos="-179"/>
              </w:tabs>
              <w:spacing w:after="120" w:line="240" w:lineRule="auto"/>
              <w:ind w:left="170" w:hanging="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06368">
        <w:tc>
          <w:tcPr>
            <w:tcW w:w="2410" w:type="dxa"/>
            <w:shd w:val="clear" w:color="auto" w:fill="auto"/>
          </w:tcPr>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rsidR="00E06368" w:rsidRDefault="00203C43">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E06368">
        <w:trPr>
          <w:trHeight w:val="359"/>
        </w:trPr>
        <w:tc>
          <w:tcPr>
            <w:tcW w:w="2410" w:type="dxa"/>
            <w:shd w:val="clear" w:color="auto" w:fill="auto"/>
          </w:tcPr>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E06368" w:rsidRDefault="00203C43">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06368">
        <w:tc>
          <w:tcPr>
            <w:tcW w:w="2410" w:type="dxa"/>
            <w:shd w:val="clear" w:color="auto" w:fill="auto"/>
          </w:tcPr>
          <w:p w:rsidR="00E06368" w:rsidRDefault="00E06368">
            <w:pPr>
              <w:pBdr>
                <w:top w:val="nil"/>
                <w:left w:val="nil"/>
                <w:bottom w:val="nil"/>
                <w:right w:val="nil"/>
                <w:between w:val="nil"/>
              </w:pBdr>
              <w:spacing w:after="120" w:line="240" w:lineRule="auto"/>
              <w:ind w:left="-108"/>
              <w:jc w:val="both"/>
              <w:rPr>
                <w:rFonts w:ascii="Arial" w:eastAsia="Arial" w:hAnsi="Arial" w:cs="Arial"/>
                <w:b/>
                <w:color w:val="000000"/>
                <w:sz w:val="24"/>
                <w:szCs w:val="24"/>
              </w:rPr>
            </w:pPr>
          </w:p>
        </w:tc>
        <w:tc>
          <w:tcPr>
            <w:tcW w:w="5953" w:type="dxa"/>
            <w:shd w:val="clear" w:color="auto" w:fill="auto"/>
          </w:tcPr>
          <w:p w:rsidR="00E06368" w:rsidRDefault="00E06368">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p>
        </w:tc>
      </w:tr>
      <w:tr w:rsidR="00E06368">
        <w:tc>
          <w:tcPr>
            <w:tcW w:w="2410" w:type="dxa"/>
            <w:shd w:val="clear" w:color="auto" w:fill="auto"/>
          </w:tcPr>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E06368" w:rsidRDefault="00203C43">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E06368">
        <w:tc>
          <w:tcPr>
            <w:tcW w:w="2410" w:type="dxa"/>
            <w:shd w:val="clear" w:color="auto" w:fill="auto"/>
          </w:tcPr>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E06368" w:rsidRDefault="00203C43">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E06368">
        <w:tc>
          <w:tcPr>
            <w:tcW w:w="2410" w:type="dxa"/>
            <w:shd w:val="clear" w:color="auto" w:fill="auto"/>
          </w:tcPr>
          <w:p w:rsidR="00E06368" w:rsidRDefault="00203C43">
            <w:pPr>
              <w:pBdr>
                <w:top w:val="nil"/>
                <w:left w:val="nil"/>
                <w:bottom w:val="nil"/>
                <w:right w:val="nil"/>
                <w:between w:val="nil"/>
              </w:pBdr>
              <w:spacing w:after="120" w:line="240" w:lineRule="auto"/>
              <w:ind w:left="-108"/>
              <w:jc w:val="both"/>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E06368" w:rsidRDefault="00203C43">
            <w:pPr>
              <w:numPr>
                <w:ilvl w:val="0"/>
                <w:numId w:val="3"/>
              </w:numPr>
              <w:pBdr>
                <w:top w:val="nil"/>
                <w:left w:val="nil"/>
                <w:bottom w:val="nil"/>
                <w:right w:val="nil"/>
                <w:between w:val="nil"/>
              </w:pBdr>
              <w:tabs>
                <w:tab w:val="left" w:pos="-9"/>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rsidR="00E06368" w:rsidRDefault="00203C43">
      <w:pPr>
        <w:numPr>
          <w:ilvl w:val="0"/>
          <w:numId w:val="2"/>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w:t>
      </w:r>
      <w:r>
        <w:rPr>
          <w:rFonts w:ascii="Arial" w:eastAsia="Arial" w:hAnsi="Arial" w:cs="Arial"/>
          <w:color w:val="000000"/>
          <w:sz w:val="24"/>
          <w:szCs w:val="24"/>
        </w:rPr>
        <w:t>hat may be suffered by the Buyer as a result of the Supplier’s failure to meet any Service Level Performance Measure.</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w:t>
      </w:r>
      <w:r>
        <w:rPr>
          <w:rFonts w:ascii="Arial" w:eastAsia="Arial" w:hAnsi="Arial" w:cs="Arial"/>
          <w:color w:val="000000"/>
          <w:sz w:val="24"/>
          <w:szCs w:val="24"/>
        </w:rPr>
        <w:t>he provisions of Part B (Performance Monitoring) of this Schedule.</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has over the previous (twelve) 12 Month period exceeded the Service C</w:t>
      </w:r>
      <w:r>
        <w:rPr>
          <w:rFonts w:ascii="Arial" w:eastAsia="Arial" w:hAnsi="Arial" w:cs="Arial"/>
          <w:color w:val="000000"/>
          <w:sz w:val="24"/>
          <w:szCs w:val="24"/>
        </w:rPr>
        <w:t>redit Cap; and/or</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rsidR="00E06368" w:rsidRDefault="00203C43">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rsidR="00E06368" w:rsidRDefault="00203C43">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E06368" w:rsidRDefault="00203C43">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E06368" w:rsidRDefault="00203C43">
      <w:pPr>
        <w:numPr>
          <w:ilvl w:val="3"/>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 more than once in each Contract</w:t>
      </w:r>
      <w:r>
        <w:rPr>
          <w:rFonts w:ascii="Arial" w:eastAsia="Arial" w:hAnsi="Arial" w:cs="Arial"/>
          <w:color w:val="000000"/>
          <w:sz w:val="24"/>
          <w:szCs w:val="24"/>
        </w:rPr>
        <w:t xml:space="preserve"> Year, the Buyer may, on giving the Supplier at least three (3) Months’ notice, change the weighting of Service Level Performance Measure in respect of one or more Service Levels and the Supplier shall not be entitled to object to, or increase the Charges </w:t>
      </w:r>
      <w:r>
        <w:rPr>
          <w:rFonts w:ascii="Arial" w:eastAsia="Arial" w:hAnsi="Arial" w:cs="Arial"/>
          <w:color w:val="000000"/>
          <w:sz w:val="24"/>
          <w:szCs w:val="24"/>
        </w:rPr>
        <w:t>as a result of such changes, provided that:</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w:t>
      </w:r>
      <w:r>
        <w:rPr>
          <w:rFonts w:ascii="Arial" w:eastAsia="Arial" w:hAnsi="Arial" w:cs="Arial"/>
          <w:color w:val="000000"/>
          <w:sz w:val="24"/>
          <w:szCs w:val="24"/>
        </w:rPr>
        <w:t>siness requirements and/or priorities or to reflect changing industry standards; and</w:t>
      </w:r>
    </w:p>
    <w:p w:rsidR="00E06368" w:rsidRDefault="00203C43">
      <w:pPr>
        <w:numPr>
          <w:ilvl w:val="2"/>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rsidR="00E06368" w:rsidRDefault="00203C43">
      <w:pPr>
        <w:numPr>
          <w:ilvl w:val="0"/>
          <w:numId w:val="2"/>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rsidR="00E06368" w:rsidRDefault="00203C43">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rsidR="00E06368" w:rsidRDefault="00203C43">
      <w:pPr>
        <w:numPr>
          <w:ilvl w:val="1"/>
          <w:numId w:val="2"/>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w:t>
      </w:r>
      <w:r>
        <w:rPr>
          <w:rFonts w:ascii="Arial" w:eastAsia="Arial" w:hAnsi="Arial" w:cs="Arial"/>
          <w:color w:val="000000"/>
          <w:sz w:val="24"/>
          <w:szCs w:val="24"/>
        </w:rPr>
        <w:t>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E06368" w:rsidRDefault="00203C43">
      <w:pPr>
        <w:pBdr>
          <w:top w:val="nil"/>
          <w:left w:val="nil"/>
          <w:bottom w:val="nil"/>
          <w:right w:val="nil"/>
          <w:between w:val="nil"/>
        </w:pBdr>
        <w:tabs>
          <w:tab w:val="left" w:pos="3402"/>
        </w:tabs>
        <w:spacing w:after="220" w:line="240" w:lineRule="auto"/>
        <w:ind w:left="720"/>
        <w:jc w:val="both"/>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rsidR="00E06368" w:rsidRDefault="00E06368">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rsidR="00E06368" w:rsidRDefault="00203C43">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E06368" w:rsidRDefault="00203C43">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rsidR="00E06368" w:rsidRDefault="00203C43">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rsidR="00E06368" w:rsidRDefault="00203C43">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E06368" w:rsidRDefault="00203C43">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E06368" w:rsidRDefault="00203C43">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instruct the Supplier t</w:t>
      </w:r>
      <w:r>
        <w:rPr>
          <w:rFonts w:ascii="Arial" w:eastAsia="Arial" w:hAnsi="Arial" w:cs="Arial"/>
          <w:color w:val="000000"/>
          <w:sz w:val="24"/>
          <w:szCs w:val="24"/>
        </w:rPr>
        <w:t xml:space="preserve">o comply with the Rectification Plan Process; </w:t>
      </w:r>
    </w:p>
    <w:p w:rsidR="00E06368" w:rsidRDefault="00203C43">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rsidR="00E06368" w:rsidRDefault="00203C43">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w:t>
      </w:r>
      <w:r>
        <w:rPr>
          <w:rFonts w:ascii="Arial" w:eastAsia="Arial" w:hAnsi="Arial" w:cs="Arial"/>
          <w:color w:val="000000"/>
          <w:sz w:val="24"/>
          <w:szCs w:val="24"/>
        </w:rPr>
        <w:t>ation for Critical Service Level Failure (including the right to terminate for material Default).</w:t>
      </w:r>
    </w:p>
    <w:p w:rsidR="00E06368" w:rsidRDefault="00203C43">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w:t>
      </w:r>
      <w:r>
        <w:rPr>
          <w:rFonts w:ascii="Arial" w:eastAsia="Arial" w:hAnsi="Arial" w:cs="Arial"/>
          <w:color w:val="000000"/>
          <w:sz w:val="24"/>
          <w:szCs w:val="24"/>
        </w:rPr>
        <w:t xml:space="preserve"> if any, applicable to each Service Period.</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w:t>
      </w:r>
      <w:r>
        <w:rPr>
          <w:rFonts w:ascii="Arial" w:eastAsia="Arial" w:hAnsi="Arial" w:cs="Arial"/>
          <w:color w:val="000000"/>
          <w:sz w:val="24"/>
          <w:szCs w:val="24"/>
        </w:rPr>
        <w:t xml:space="preserve">nce with calculation formula in the Annex to Part A of this Schedule. </w:t>
      </w:r>
    </w:p>
    <w:p w:rsidR="00E06368" w:rsidRDefault="00203C43">
      <w:pPr>
        <w:keepNext/>
        <w:pBdr>
          <w:top w:val="nil"/>
          <w:left w:val="nil"/>
          <w:bottom w:val="nil"/>
          <w:right w:val="nil"/>
          <w:between w:val="nil"/>
        </w:pBdr>
        <w:spacing w:after="240" w:line="240" w:lineRule="auto"/>
        <w:jc w:val="both"/>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Annex A to Part A: Services Levels and Service Credits Table</w:t>
      </w:r>
    </w:p>
    <w:p w:rsidR="00E06368" w:rsidRDefault="00203C43">
      <w:pPr>
        <w:ind w:left="709"/>
        <w:jc w:val="both"/>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w:t>
      </w:r>
      <w:r>
        <w:rPr>
          <w:rFonts w:ascii="Arial" w:eastAsia="Arial" w:hAnsi="Arial" w:cs="Arial"/>
          <w:b/>
          <w:i/>
          <w:sz w:val="24"/>
          <w:szCs w:val="24"/>
        </w:rPr>
        <w:t xml:space="preserve"> </w:t>
      </w:r>
      <w:r>
        <w:rPr>
          <w:rFonts w:ascii="Arial" w:eastAsia="Arial" w:hAnsi="Arial" w:cs="Arial"/>
          <w:sz w:val="24"/>
          <w:szCs w:val="24"/>
        </w:rPr>
        <w:t xml:space="preserve">including Service Levels relating to Social Value (Social Value KPIs).  Procurement-specific Service Levels should be incorporated.  In line with the </w:t>
      </w:r>
      <w:hyperlink r:id="rId7">
        <w:r>
          <w:rPr>
            <w:rFonts w:ascii="Arial" w:eastAsia="Arial" w:hAnsi="Arial" w:cs="Arial"/>
            <w:color w:val="0000FF"/>
            <w:sz w:val="24"/>
            <w:szCs w:val="24"/>
            <w:u w:val="single"/>
          </w:rPr>
          <w:t>Sourc</w:t>
        </w:r>
        <w:r>
          <w:rPr>
            <w:rFonts w:ascii="Arial" w:eastAsia="Arial" w:hAnsi="Arial" w:cs="Arial"/>
            <w:color w:val="0000FF"/>
            <w:sz w:val="24"/>
            <w:szCs w:val="24"/>
            <w:u w:val="single"/>
          </w:rPr>
          <w:t>ing Playbook</w:t>
        </w:r>
      </w:hyperlink>
      <w:r>
        <w:rPr>
          <w:rFonts w:ascii="Arial" w:eastAsia="Arial" w:hAnsi="Arial" w:cs="Arial"/>
          <w:sz w:val="24"/>
          <w:szCs w:val="24"/>
        </w:rPr>
        <w:t>, it is HMG’s intention to publish the top KPIs for the Government’s most important contracts. Where this publication requirement applies to this Contract, the Buyer must select at least three Service Levels (KPIs) which shall be publishable an</w:t>
      </w:r>
      <w:r>
        <w:rPr>
          <w:rFonts w:ascii="Arial" w:eastAsia="Arial" w:hAnsi="Arial" w:cs="Arial"/>
          <w:sz w:val="24"/>
          <w:szCs w:val="24"/>
        </w:rPr>
        <w:t>d must also select the single most important Social Value KPI, which shall also be publishable (four KPIs in total). Buyers can indicate which are publishable in the table below]</w:t>
      </w:r>
    </w:p>
    <w:tbl>
      <w:tblPr>
        <w:tblStyle w:val="a0"/>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E06368">
        <w:trPr>
          <w:trHeight w:val="1213"/>
          <w:tblHeader/>
          <w:jc w:val="center"/>
        </w:trPr>
        <w:tc>
          <w:tcPr>
            <w:tcW w:w="6403" w:type="dxa"/>
            <w:gridSpan w:val="4"/>
            <w:shd w:val="clear" w:color="auto" w:fill="D9D9D9"/>
          </w:tcPr>
          <w:p w:rsidR="00E06368" w:rsidRDefault="00203C43">
            <w:pPr>
              <w:ind w:left="95"/>
              <w:jc w:val="both"/>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rsidR="00E06368" w:rsidRDefault="00203C43">
            <w:pPr>
              <w:ind w:left="95"/>
              <w:jc w:val="both"/>
              <w:rPr>
                <w:rFonts w:ascii="Arial" w:eastAsia="Arial" w:hAnsi="Arial" w:cs="Arial"/>
                <w:sz w:val="24"/>
                <w:szCs w:val="24"/>
              </w:rPr>
            </w:pPr>
            <w:r>
              <w:rPr>
                <w:rFonts w:ascii="Arial" w:eastAsia="Arial" w:hAnsi="Arial" w:cs="Arial"/>
                <w:sz w:val="24"/>
                <w:szCs w:val="24"/>
              </w:rPr>
              <w:t>Service Credit for each Service Period</w:t>
            </w:r>
          </w:p>
          <w:p w:rsidR="00E06368" w:rsidRDefault="00E06368">
            <w:pPr>
              <w:ind w:left="95"/>
              <w:jc w:val="both"/>
              <w:rPr>
                <w:rFonts w:ascii="Arial" w:eastAsia="Arial" w:hAnsi="Arial" w:cs="Arial"/>
                <w:sz w:val="24"/>
                <w:szCs w:val="24"/>
              </w:rPr>
            </w:pPr>
          </w:p>
        </w:tc>
        <w:tc>
          <w:tcPr>
            <w:tcW w:w="2102" w:type="dxa"/>
            <w:shd w:val="clear" w:color="auto" w:fill="D9D9D9"/>
          </w:tcPr>
          <w:p w:rsidR="00E06368" w:rsidRDefault="00E06368">
            <w:pPr>
              <w:ind w:left="95"/>
              <w:jc w:val="both"/>
              <w:rPr>
                <w:rFonts w:ascii="Arial" w:eastAsia="Arial" w:hAnsi="Arial" w:cs="Arial"/>
                <w:sz w:val="24"/>
                <w:szCs w:val="24"/>
              </w:rPr>
            </w:pPr>
          </w:p>
        </w:tc>
      </w:tr>
      <w:tr w:rsidR="00E06368">
        <w:trPr>
          <w:trHeight w:val="1213"/>
          <w:tblHeader/>
          <w:jc w:val="center"/>
        </w:trPr>
        <w:tc>
          <w:tcPr>
            <w:tcW w:w="1713" w:type="dxa"/>
            <w:shd w:val="clear" w:color="auto" w:fill="D9D9D9"/>
            <w:vAlign w:val="center"/>
          </w:tcPr>
          <w:p w:rsidR="00E06368" w:rsidRDefault="00203C43">
            <w:pPr>
              <w:ind w:left="61"/>
              <w:jc w:val="both"/>
              <w:rPr>
                <w:rFonts w:ascii="Arial" w:eastAsia="Arial" w:hAnsi="Arial" w:cs="Arial"/>
                <w:sz w:val="24"/>
                <w:szCs w:val="24"/>
              </w:rPr>
            </w:pPr>
            <w:r>
              <w:rPr>
                <w:rFonts w:ascii="Arial" w:eastAsia="Arial" w:hAnsi="Arial" w:cs="Arial"/>
                <w:sz w:val="24"/>
                <w:szCs w:val="24"/>
              </w:rPr>
              <w:t>Service Level Performance Criterion</w:t>
            </w:r>
          </w:p>
        </w:tc>
        <w:tc>
          <w:tcPr>
            <w:tcW w:w="1571" w:type="dxa"/>
            <w:shd w:val="clear" w:color="auto" w:fill="D9D9D9"/>
            <w:vAlign w:val="center"/>
          </w:tcPr>
          <w:p w:rsidR="00E06368" w:rsidRDefault="00203C43">
            <w:pPr>
              <w:ind w:left="95"/>
              <w:jc w:val="both"/>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E06368" w:rsidRDefault="00203C43">
            <w:pPr>
              <w:jc w:val="both"/>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rsidR="00E06368" w:rsidRDefault="00203C43">
            <w:pPr>
              <w:ind w:left="95"/>
              <w:jc w:val="both"/>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rsidR="00E06368" w:rsidRDefault="00E06368">
            <w:pPr>
              <w:widowControl w:val="0"/>
              <w:pBdr>
                <w:top w:val="nil"/>
                <w:left w:val="nil"/>
                <w:bottom w:val="nil"/>
                <w:right w:val="nil"/>
                <w:between w:val="nil"/>
              </w:pBdr>
              <w:spacing w:after="0"/>
              <w:jc w:val="both"/>
              <w:rPr>
                <w:rFonts w:ascii="Arial" w:eastAsia="Arial" w:hAnsi="Arial" w:cs="Arial"/>
                <w:sz w:val="24"/>
                <w:szCs w:val="24"/>
              </w:rPr>
            </w:pPr>
          </w:p>
        </w:tc>
        <w:tc>
          <w:tcPr>
            <w:tcW w:w="2102" w:type="dxa"/>
            <w:shd w:val="clear" w:color="auto" w:fill="D9D9D9"/>
          </w:tcPr>
          <w:p w:rsidR="00E06368" w:rsidRDefault="00203C43">
            <w:pPr>
              <w:ind w:left="95"/>
              <w:jc w:val="both"/>
              <w:rPr>
                <w:rFonts w:ascii="Arial" w:eastAsia="Arial" w:hAnsi="Arial" w:cs="Arial"/>
                <w:sz w:val="24"/>
                <w:szCs w:val="24"/>
              </w:rPr>
            </w:pPr>
            <w:r>
              <w:rPr>
                <w:rFonts w:ascii="Arial" w:eastAsia="Arial" w:hAnsi="Arial" w:cs="Arial"/>
                <w:sz w:val="24"/>
                <w:szCs w:val="24"/>
              </w:rPr>
              <w:t>Publishable KPI</w:t>
            </w:r>
          </w:p>
        </w:tc>
      </w:tr>
      <w:tr w:rsidR="00E06368">
        <w:trPr>
          <w:trHeight w:val="1474"/>
          <w:jc w:val="center"/>
        </w:trPr>
        <w:tc>
          <w:tcPr>
            <w:tcW w:w="1713" w:type="dxa"/>
          </w:tcPr>
          <w:p w:rsidR="00E06368" w:rsidRDefault="00203C43">
            <w:pPr>
              <w:spacing w:after="120"/>
              <w:ind w:left="61"/>
              <w:jc w:val="both"/>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highlight w:val="yellow"/>
              </w:rPr>
              <w:t>Accurate and timely billing of Buyer</w:t>
            </w:r>
            <w:r>
              <w:rPr>
                <w:rFonts w:ascii="Arial" w:eastAsia="Arial" w:hAnsi="Arial" w:cs="Arial"/>
                <w:sz w:val="24"/>
                <w:szCs w:val="24"/>
              </w:rPr>
              <w:t>]</w:t>
            </w:r>
          </w:p>
          <w:p w:rsidR="00E06368" w:rsidRDefault="00E06368">
            <w:pPr>
              <w:spacing w:after="120"/>
              <w:ind w:left="61"/>
              <w:jc w:val="both"/>
              <w:rPr>
                <w:rFonts w:ascii="Arial" w:eastAsia="Arial" w:hAnsi="Arial" w:cs="Arial"/>
                <w:sz w:val="24"/>
                <w:szCs w:val="24"/>
              </w:rPr>
            </w:pPr>
          </w:p>
        </w:tc>
        <w:tc>
          <w:tcPr>
            <w:tcW w:w="1571" w:type="dxa"/>
          </w:tcPr>
          <w:p w:rsidR="00E06368" w:rsidRDefault="00203C43">
            <w:pPr>
              <w:spacing w:after="120"/>
              <w:ind w:left="95"/>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Accuracy /Timelines</w:t>
            </w:r>
            <w:r>
              <w:rPr>
                <w:rFonts w:ascii="Arial" w:eastAsia="Arial" w:hAnsi="Arial" w:cs="Arial"/>
                <w:sz w:val="24"/>
                <w:szCs w:val="24"/>
              </w:rPr>
              <w:t>]</w:t>
            </w:r>
          </w:p>
          <w:p w:rsidR="00E06368" w:rsidRDefault="00E06368">
            <w:pPr>
              <w:spacing w:after="120"/>
              <w:ind w:left="95"/>
              <w:jc w:val="both"/>
              <w:rPr>
                <w:rFonts w:ascii="Arial" w:eastAsia="Arial" w:hAnsi="Arial" w:cs="Arial"/>
                <w:sz w:val="24"/>
                <w:szCs w:val="24"/>
              </w:rPr>
            </w:pPr>
          </w:p>
        </w:tc>
        <w:tc>
          <w:tcPr>
            <w:tcW w:w="1701" w:type="dxa"/>
          </w:tcPr>
          <w:p w:rsidR="00E06368" w:rsidRDefault="00203C43">
            <w:pPr>
              <w:spacing w:after="120"/>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at least 98% at all times</w:t>
            </w:r>
            <w:r>
              <w:rPr>
                <w:rFonts w:ascii="Arial" w:eastAsia="Arial" w:hAnsi="Arial" w:cs="Arial"/>
                <w:sz w:val="24"/>
                <w:szCs w:val="24"/>
              </w:rPr>
              <w:t>]</w:t>
            </w:r>
          </w:p>
          <w:p w:rsidR="00E06368" w:rsidRDefault="00E06368">
            <w:pPr>
              <w:spacing w:after="120"/>
              <w:jc w:val="both"/>
              <w:rPr>
                <w:rFonts w:ascii="Arial" w:eastAsia="Arial" w:hAnsi="Arial" w:cs="Arial"/>
                <w:sz w:val="24"/>
                <w:szCs w:val="24"/>
              </w:rPr>
            </w:pPr>
          </w:p>
        </w:tc>
        <w:tc>
          <w:tcPr>
            <w:tcW w:w="1418" w:type="dxa"/>
          </w:tcPr>
          <w:p w:rsidR="00E06368" w:rsidRDefault="00203C43">
            <w:pPr>
              <w:spacing w:after="120"/>
              <w:ind w:left="95"/>
              <w:jc w:val="both"/>
              <w:rPr>
                <w:rFonts w:ascii="Arial" w:eastAsia="Arial" w:hAnsi="Arial" w:cs="Arial"/>
                <w:sz w:val="24"/>
                <w:szCs w:val="24"/>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0.5% Service Credit gained for each percentage under the specified Service Level Performance Measure</w:t>
            </w:r>
            <w:r>
              <w:rPr>
                <w:rFonts w:ascii="Arial" w:eastAsia="Arial" w:hAnsi="Arial" w:cs="Arial"/>
                <w:sz w:val="24"/>
                <w:szCs w:val="24"/>
              </w:rPr>
              <w:t>]</w:t>
            </w:r>
          </w:p>
        </w:tc>
        <w:tc>
          <w:tcPr>
            <w:tcW w:w="2102" w:type="dxa"/>
          </w:tcPr>
          <w:p w:rsidR="00E06368" w:rsidRDefault="00203C43">
            <w:pPr>
              <w:spacing w:after="120"/>
              <w:ind w:left="95"/>
              <w:jc w:val="both"/>
              <w:rPr>
                <w:rFonts w:ascii="Arial" w:eastAsia="Arial" w:hAnsi="Arial" w:cs="Arial"/>
                <w:sz w:val="24"/>
                <w:szCs w:val="24"/>
              </w:rPr>
            </w:pPr>
            <w:bookmarkStart w:id="0" w:name="_gjdgxs" w:colFirst="0" w:colLast="0"/>
            <w:bookmarkEnd w:id="0"/>
            <w:r>
              <w:rPr>
                <w:rFonts w:ascii="Arial" w:eastAsia="Arial" w:hAnsi="Arial" w:cs="Arial"/>
              </w:rPr>
              <w:t>[Yes/No]</w:t>
            </w:r>
          </w:p>
        </w:tc>
      </w:tr>
      <w:tr w:rsidR="00E06368">
        <w:trPr>
          <w:trHeight w:val="1474"/>
          <w:jc w:val="center"/>
        </w:trPr>
        <w:tc>
          <w:tcPr>
            <w:tcW w:w="1713" w:type="dxa"/>
          </w:tcPr>
          <w:p w:rsidR="00E06368" w:rsidRDefault="00203C43">
            <w:pPr>
              <w:spacing w:after="120"/>
              <w:ind w:left="61"/>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Access to Buyer support</w:t>
            </w:r>
            <w:r>
              <w:rPr>
                <w:rFonts w:ascii="Arial" w:eastAsia="Arial" w:hAnsi="Arial" w:cs="Arial"/>
                <w:sz w:val="24"/>
                <w:szCs w:val="24"/>
              </w:rPr>
              <w:t>]</w:t>
            </w:r>
          </w:p>
          <w:p w:rsidR="00E06368" w:rsidRDefault="00E06368">
            <w:pPr>
              <w:spacing w:after="120"/>
              <w:ind w:left="61"/>
              <w:jc w:val="both"/>
              <w:rPr>
                <w:rFonts w:ascii="Arial" w:eastAsia="Arial" w:hAnsi="Arial" w:cs="Arial"/>
                <w:sz w:val="24"/>
                <w:szCs w:val="24"/>
              </w:rPr>
            </w:pPr>
          </w:p>
        </w:tc>
        <w:tc>
          <w:tcPr>
            <w:tcW w:w="1571" w:type="dxa"/>
          </w:tcPr>
          <w:p w:rsidR="00E06368" w:rsidRDefault="00203C43">
            <w:pPr>
              <w:spacing w:after="120"/>
              <w:ind w:left="95"/>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Availability</w:t>
            </w:r>
            <w:r>
              <w:rPr>
                <w:rFonts w:ascii="Arial" w:eastAsia="Arial" w:hAnsi="Arial" w:cs="Arial"/>
                <w:sz w:val="24"/>
                <w:szCs w:val="24"/>
              </w:rPr>
              <w:t>]</w:t>
            </w:r>
          </w:p>
          <w:p w:rsidR="00E06368" w:rsidRDefault="00E06368">
            <w:pPr>
              <w:spacing w:after="120"/>
              <w:ind w:left="95"/>
              <w:jc w:val="both"/>
              <w:rPr>
                <w:rFonts w:ascii="Arial" w:eastAsia="Arial" w:hAnsi="Arial" w:cs="Arial"/>
                <w:sz w:val="24"/>
                <w:szCs w:val="24"/>
              </w:rPr>
            </w:pPr>
          </w:p>
          <w:p w:rsidR="00E06368" w:rsidRDefault="00E06368">
            <w:pPr>
              <w:spacing w:after="120"/>
              <w:ind w:left="95"/>
              <w:jc w:val="both"/>
              <w:rPr>
                <w:rFonts w:ascii="Arial" w:eastAsia="Arial" w:hAnsi="Arial" w:cs="Arial"/>
                <w:sz w:val="24"/>
                <w:szCs w:val="24"/>
              </w:rPr>
            </w:pPr>
          </w:p>
        </w:tc>
        <w:tc>
          <w:tcPr>
            <w:tcW w:w="1701" w:type="dxa"/>
          </w:tcPr>
          <w:p w:rsidR="00E06368" w:rsidRDefault="00203C43">
            <w:pPr>
              <w:spacing w:after="120"/>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at least 98% at all times</w:t>
            </w:r>
            <w:r>
              <w:rPr>
                <w:rFonts w:ascii="Arial" w:eastAsia="Arial" w:hAnsi="Arial" w:cs="Arial"/>
                <w:sz w:val="24"/>
                <w:szCs w:val="24"/>
              </w:rPr>
              <w:t>]</w:t>
            </w:r>
          </w:p>
          <w:p w:rsidR="00E06368" w:rsidRDefault="00E06368">
            <w:pPr>
              <w:spacing w:after="120"/>
              <w:jc w:val="both"/>
              <w:rPr>
                <w:rFonts w:ascii="Arial" w:eastAsia="Arial" w:hAnsi="Arial" w:cs="Arial"/>
                <w:sz w:val="24"/>
                <w:szCs w:val="24"/>
              </w:rPr>
            </w:pPr>
          </w:p>
        </w:tc>
        <w:tc>
          <w:tcPr>
            <w:tcW w:w="1418" w:type="dxa"/>
          </w:tcPr>
          <w:p w:rsidR="00E06368" w:rsidRDefault="00203C43">
            <w:pPr>
              <w:spacing w:after="120"/>
              <w:ind w:left="95"/>
              <w:jc w:val="both"/>
              <w:rPr>
                <w:rFonts w:ascii="Arial" w:eastAsia="Arial" w:hAnsi="Arial" w:cs="Arial"/>
                <w:sz w:val="24"/>
                <w:szCs w:val="24"/>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0.5% Service Credit gained for each percentage under the specified Service Level Performance Measure</w:t>
            </w:r>
            <w:r>
              <w:rPr>
                <w:rFonts w:ascii="Arial" w:eastAsia="Arial" w:hAnsi="Arial" w:cs="Arial"/>
                <w:sz w:val="24"/>
                <w:szCs w:val="24"/>
              </w:rPr>
              <w:t>]</w:t>
            </w:r>
          </w:p>
        </w:tc>
        <w:tc>
          <w:tcPr>
            <w:tcW w:w="2102" w:type="dxa"/>
          </w:tcPr>
          <w:p w:rsidR="00E06368" w:rsidRDefault="00203C43">
            <w:pPr>
              <w:spacing w:after="120"/>
              <w:ind w:left="95"/>
              <w:jc w:val="both"/>
              <w:rPr>
                <w:rFonts w:ascii="Arial" w:eastAsia="Arial" w:hAnsi="Arial" w:cs="Arial"/>
                <w:sz w:val="24"/>
                <w:szCs w:val="24"/>
              </w:rPr>
            </w:pPr>
            <w:r>
              <w:rPr>
                <w:rFonts w:ascii="Arial" w:eastAsia="Arial" w:hAnsi="Arial" w:cs="Arial"/>
              </w:rPr>
              <w:t>[Yes/No]</w:t>
            </w:r>
          </w:p>
        </w:tc>
      </w:tr>
      <w:tr w:rsidR="00E06368">
        <w:trPr>
          <w:trHeight w:val="1165"/>
          <w:jc w:val="center"/>
        </w:trPr>
        <w:tc>
          <w:tcPr>
            <w:tcW w:w="1713" w:type="dxa"/>
          </w:tcPr>
          <w:p w:rsidR="00E06368" w:rsidRDefault="00203C43">
            <w:pPr>
              <w:spacing w:after="120"/>
              <w:ind w:left="61"/>
              <w:jc w:val="both"/>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KPI</w:t>
            </w:r>
            <w:r>
              <w:rPr>
                <w:rFonts w:ascii="Arial" w:eastAsia="Arial" w:hAnsi="Arial" w:cs="Arial"/>
                <w:sz w:val="24"/>
                <w:szCs w:val="24"/>
              </w:rPr>
              <w:t>]</w:t>
            </w:r>
          </w:p>
        </w:tc>
        <w:tc>
          <w:tcPr>
            <w:tcW w:w="1571" w:type="dxa"/>
          </w:tcPr>
          <w:p w:rsidR="00E06368" w:rsidRDefault="00203C43">
            <w:pPr>
              <w:spacing w:after="120"/>
              <w:ind w:left="95"/>
              <w:jc w:val="both"/>
              <w:rPr>
                <w:rFonts w:ascii="Arial" w:eastAsia="Arial" w:hAnsi="Arial" w:cs="Arial"/>
                <w:sz w:val="24"/>
                <w:szCs w:val="24"/>
              </w:rPr>
            </w:pPr>
            <w:r>
              <w:rPr>
                <w:rFonts w:ascii="Arial" w:eastAsia="Arial" w:hAnsi="Arial" w:cs="Arial"/>
                <w:highlight w:val="yellow"/>
              </w:rPr>
              <w:t>[  ]</w:t>
            </w:r>
          </w:p>
        </w:tc>
        <w:tc>
          <w:tcPr>
            <w:tcW w:w="1701" w:type="dxa"/>
          </w:tcPr>
          <w:p w:rsidR="00E06368" w:rsidRDefault="00203C43">
            <w:pPr>
              <w:spacing w:after="120"/>
              <w:jc w:val="both"/>
              <w:rPr>
                <w:rFonts w:ascii="Arial" w:eastAsia="Arial" w:hAnsi="Arial" w:cs="Arial"/>
                <w:sz w:val="24"/>
                <w:szCs w:val="24"/>
              </w:rPr>
            </w:pPr>
            <w:r>
              <w:rPr>
                <w:rFonts w:ascii="Arial" w:eastAsia="Arial" w:hAnsi="Arial" w:cs="Arial"/>
                <w:highlight w:val="yellow"/>
              </w:rPr>
              <w:t>[  ]</w:t>
            </w:r>
          </w:p>
        </w:tc>
        <w:tc>
          <w:tcPr>
            <w:tcW w:w="1418" w:type="dxa"/>
          </w:tcPr>
          <w:p w:rsidR="00E06368" w:rsidRDefault="00203C43">
            <w:pPr>
              <w:spacing w:after="120"/>
              <w:ind w:left="95"/>
              <w:jc w:val="both"/>
              <w:rPr>
                <w:rFonts w:ascii="Arial" w:eastAsia="Arial" w:hAnsi="Arial" w:cs="Arial"/>
                <w:sz w:val="24"/>
                <w:szCs w:val="24"/>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sz w:val="24"/>
                <w:szCs w:val="24"/>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rPr>
            </w:pPr>
            <w:r>
              <w:rPr>
                <w:rFonts w:ascii="Arial" w:eastAsia="Arial" w:hAnsi="Arial" w:cs="Arial"/>
              </w:rPr>
              <w:t>[Yes/No]</w:t>
            </w:r>
          </w:p>
        </w:tc>
      </w:tr>
      <w:tr w:rsidR="00E06368">
        <w:trPr>
          <w:trHeight w:val="1474"/>
          <w:jc w:val="center"/>
        </w:trPr>
        <w:tc>
          <w:tcPr>
            <w:tcW w:w="1713" w:type="dxa"/>
          </w:tcPr>
          <w:p w:rsidR="00E06368" w:rsidRDefault="00203C43">
            <w:pPr>
              <w:spacing w:after="120"/>
              <w:ind w:left="61"/>
              <w:jc w:val="both"/>
              <w:rPr>
                <w:rFonts w:ascii="Arial" w:eastAsia="Arial" w:hAnsi="Arial" w:cs="Arial"/>
              </w:rPr>
            </w:pPr>
            <w:r>
              <w:rPr>
                <w:rFonts w:ascii="Arial" w:eastAsia="Arial" w:hAnsi="Arial" w:cs="Arial"/>
              </w:rPr>
              <w:lastRenderedPageBreak/>
              <w:t>[</w:t>
            </w:r>
            <w:r>
              <w:rPr>
                <w:rFonts w:ascii="Arial" w:eastAsia="Arial" w:hAnsi="Arial" w:cs="Arial"/>
                <w:highlight w:val="yellow"/>
              </w:rPr>
              <w:t>Social Value KPI 1]</w:t>
            </w:r>
          </w:p>
        </w:tc>
        <w:tc>
          <w:tcPr>
            <w:tcW w:w="1571"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1701" w:type="dxa"/>
          </w:tcPr>
          <w:p w:rsidR="00E06368" w:rsidRDefault="00203C43">
            <w:pPr>
              <w:spacing w:after="120"/>
              <w:jc w:val="both"/>
              <w:rPr>
                <w:rFonts w:ascii="Arial" w:eastAsia="Arial" w:hAnsi="Arial" w:cs="Arial"/>
                <w:highlight w:val="yellow"/>
              </w:rPr>
            </w:pPr>
            <w:r>
              <w:rPr>
                <w:rFonts w:ascii="Arial" w:eastAsia="Arial" w:hAnsi="Arial" w:cs="Arial"/>
                <w:highlight w:val="yellow"/>
              </w:rPr>
              <w:t>[  ]</w:t>
            </w:r>
          </w:p>
        </w:tc>
        <w:tc>
          <w:tcPr>
            <w:tcW w:w="1418"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rPr>
            </w:pPr>
            <w:r>
              <w:rPr>
                <w:rFonts w:ascii="Arial" w:eastAsia="Arial" w:hAnsi="Arial" w:cs="Arial"/>
              </w:rPr>
              <w:t>[Yes/No]</w:t>
            </w:r>
          </w:p>
        </w:tc>
      </w:tr>
      <w:tr w:rsidR="00E06368">
        <w:trPr>
          <w:trHeight w:val="1474"/>
          <w:jc w:val="center"/>
        </w:trPr>
        <w:tc>
          <w:tcPr>
            <w:tcW w:w="1713" w:type="dxa"/>
          </w:tcPr>
          <w:p w:rsidR="00E06368" w:rsidRDefault="00203C43">
            <w:pPr>
              <w:spacing w:after="120"/>
              <w:ind w:left="61"/>
              <w:jc w:val="both"/>
              <w:rPr>
                <w:rFonts w:ascii="Arial" w:eastAsia="Arial" w:hAnsi="Arial" w:cs="Arial"/>
              </w:rPr>
            </w:pPr>
            <w:r>
              <w:rPr>
                <w:rFonts w:ascii="Arial" w:eastAsia="Arial" w:hAnsi="Arial" w:cs="Arial"/>
              </w:rPr>
              <w:t>[</w:t>
            </w:r>
            <w:r>
              <w:rPr>
                <w:rFonts w:ascii="Arial" w:eastAsia="Arial" w:hAnsi="Arial" w:cs="Arial"/>
                <w:highlight w:val="yellow"/>
              </w:rPr>
              <w:t>Social Value KPI 2]</w:t>
            </w:r>
          </w:p>
        </w:tc>
        <w:tc>
          <w:tcPr>
            <w:tcW w:w="1571"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1701" w:type="dxa"/>
          </w:tcPr>
          <w:p w:rsidR="00E06368" w:rsidRDefault="00203C43">
            <w:pPr>
              <w:spacing w:after="120"/>
              <w:jc w:val="both"/>
              <w:rPr>
                <w:rFonts w:ascii="Arial" w:eastAsia="Arial" w:hAnsi="Arial" w:cs="Arial"/>
                <w:highlight w:val="yellow"/>
              </w:rPr>
            </w:pPr>
            <w:r>
              <w:rPr>
                <w:rFonts w:ascii="Arial" w:eastAsia="Arial" w:hAnsi="Arial" w:cs="Arial"/>
                <w:highlight w:val="yellow"/>
              </w:rPr>
              <w:t>[  ]</w:t>
            </w:r>
          </w:p>
        </w:tc>
        <w:tc>
          <w:tcPr>
            <w:tcW w:w="1418"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rPr>
            </w:pPr>
            <w:r>
              <w:rPr>
                <w:rFonts w:ascii="Arial" w:eastAsia="Arial" w:hAnsi="Arial" w:cs="Arial"/>
              </w:rPr>
              <w:t>[Yes/No]</w:t>
            </w:r>
          </w:p>
        </w:tc>
      </w:tr>
      <w:tr w:rsidR="00E06368">
        <w:trPr>
          <w:trHeight w:val="1474"/>
          <w:jc w:val="center"/>
        </w:trPr>
        <w:tc>
          <w:tcPr>
            <w:tcW w:w="1713" w:type="dxa"/>
          </w:tcPr>
          <w:p w:rsidR="00E06368" w:rsidRDefault="00203C43">
            <w:pPr>
              <w:spacing w:after="120"/>
              <w:ind w:left="61"/>
              <w:jc w:val="both"/>
              <w:rPr>
                <w:rFonts w:ascii="Arial" w:eastAsia="Arial" w:hAnsi="Arial" w:cs="Arial"/>
              </w:rPr>
            </w:pPr>
            <w:r>
              <w:rPr>
                <w:rFonts w:ascii="Arial" w:eastAsia="Arial" w:hAnsi="Arial" w:cs="Arial"/>
              </w:rPr>
              <w:t>[</w:t>
            </w:r>
            <w:r>
              <w:rPr>
                <w:rFonts w:ascii="Arial" w:eastAsia="Arial" w:hAnsi="Arial" w:cs="Arial"/>
                <w:highlight w:val="yellow"/>
              </w:rPr>
              <w:t>Social Value KPI 3]</w:t>
            </w:r>
          </w:p>
        </w:tc>
        <w:tc>
          <w:tcPr>
            <w:tcW w:w="1571"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1701" w:type="dxa"/>
          </w:tcPr>
          <w:p w:rsidR="00E06368" w:rsidRDefault="00203C43">
            <w:pPr>
              <w:spacing w:after="120"/>
              <w:jc w:val="both"/>
              <w:rPr>
                <w:rFonts w:ascii="Arial" w:eastAsia="Arial" w:hAnsi="Arial" w:cs="Arial"/>
                <w:highlight w:val="yellow"/>
              </w:rPr>
            </w:pPr>
            <w:r>
              <w:rPr>
                <w:rFonts w:ascii="Arial" w:eastAsia="Arial" w:hAnsi="Arial" w:cs="Arial"/>
                <w:highlight w:val="yellow"/>
              </w:rPr>
              <w:t>[  ]</w:t>
            </w:r>
          </w:p>
        </w:tc>
        <w:tc>
          <w:tcPr>
            <w:tcW w:w="1418"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highlight w:val="yellow"/>
              </w:rPr>
            </w:pPr>
            <w:r>
              <w:rPr>
                <w:rFonts w:ascii="Arial" w:eastAsia="Arial" w:hAnsi="Arial" w:cs="Arial"/>
                <w:highlight w:val="yellow"/>
              </w:rPr>
              <w:t>[  ]</w:t>
            </w:r>
          </w:p>
        </w:tc>
        <w:tc>
          <w:tcPr>
            <w:tcW w:w="2102" w:type="dxa"/>
          </w:tcPr>
          <w:p w:rsidR="00E06368" w:rsidRDefault="00203C43">
            <w:pPr>
              <w:spacing w:after="120"/>
              <w:ind w:left="95"/>
              <w:jc w:val="both"/>
              <w:rPr>
                <w:rFonts w:ascii="Arial" w:eastAsia="Arial" w:hAnsi="Arial" w:cs="Arial"/>
              </w:rPr>
            </w:pPr>
            <w:r>
              <w:rPr>
                <w:rFonts w:ascii="Arial" w:eastAsia="Arial" w:hAnsi="Arial" w:cs="Arial"/>
              </w:rPr>
              <w:t>[Yes/No]</w:t>
            </w:r>
          </w:p>
        </w:tc>
      </w:tr>
    </w:tbl>
    <w:p w:rsidR="00E06368" w:rsidRDefault="00E06368">
      <w:pPr>
        <w:ind w:left="709"/>
        <w:jc w:val="both"/>
        <w:rPr>
          <w:rFonts w:ascii="Arial" w:eastAsia="Arial" w:hAnsi="Arial" w:cs="Arial"/>
          <w:sz w:val="24"/>
          <w:szCs w:val="24"/>
          <w:highlight w:val="green"/>
        </w:rPr>
      </w:pPr>
    </w:p>
    <w:p w:rsidR="00E06368" w:rsidRDefault="00203C43">
      <w:pPr>
        <w:ind w:left="709"/>
        <w:jc w:val="both"/>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E06368" w:rsidRDefault="00203C43">
      <w:pPr>
        <w:ind w:left="709"/>
        <w:jc w:val="both"/>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E06368">
        <w:tc>
          <w:tcPr>
            <w:tcW w:w="4375" w:type="dxa"/>
          </w:tcPr>
          <w:p w:rsidR="00E06368" w:rsidRDefault="00203C43">
            <w:pPr>
              <w:ind w:left="567"/>
              <w:jc w:val="both"/>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rsidR="00E06368" w:rsidRDefault="00203C43">
            <w:pPr>
              <w:ind w:left="211"/>
              <w:jc w:val="both"/>
              <w:rPr>
                <w:rFonts w:ascii="Arial" w:eastAsia="Arial" w:hAnsi="Arial" w:cs="Arial"/>
                <w:sz w:val="24"/>
                <w:szCs w:val="24"/>
              </w:rPr>
            </w:pPr>
            <w:r>
              <w:rPr>
                <w:rFonts w:ascii="Arial" w:eastAsia="Arial" w:hAnsi="Arial" w:cs="Arial"/>
                <w:sz w:val="24"/>
                <w:szCs w:val="24"/>
              </w:rPr>
              <w:t>=</w:t>
            </w:r>
          </w:p>
        </w:tc>
        <w:tc>
          <w:tcPr>
            <w:tcW w:w="3966" w:type="dxa"/>
          </w:tcPr>
          <w:p w:rsidR="00E06368" w:rsidRDefault="00203C43">
            <w:pPr>
              <w:ind w:left="145"/>
              <w:jc w:val="both"/>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E06368">
        <w:tc>
          <w:tcPr>
            <w:tcW w:w="4375" w:type="dxa"/>
          </w:tcPr>
          <w:p w:rsidR="00E06368" w:rsidRDefault="00203C43">
            <w:pPr>
              <w:ind w:left="567"/>
              <w:jc w:val="both"/>
              <w:rPr>
                <w:rFonts w:ascii="Arial" w:eastAsia="Arial" w:hAnsi="Arial" w:cs="Arial"/>
                <w:sz w:val="24"/>
                <w:szCs w:val="24"/>
              </w:rPr>
            </w:pPr>
            <w:r>
              <w:rPr>
                <w:rFonts w:ascii="Arial" w:eastAsia="Arial" w:hAnsi="Arial" w:cs="Arial"/>
                <w:sz w:val="24"/>
                <w:szCs w:val="24"/>
              </w:rPr>
              <w:t>Worked example: 98% (e.g. Service Level Performance Measure requirement for accurate and timely billing Service Level) - 75% (e.g. actual p</w:t>
            </w:r>
            <w:r>
              <w:rPr>
                <w:rFonts w:ascii="Arial" w:eastAsia="Arial" w:hAnsi="Arial" w:cs="Arial"/>
                <w:sz w:val="24"/>
                <w:szCs w:val="24"/>
              </w:rPr>
              <w:t xml:space="preserve">erformance achieved against this Service Level in a Service Period) </w:t>
            </w:r>
          </w:p>
          <w:p w:rsidR="00E06368" w:rsidRDefault="00E06368">
            <w:pPr>
              <w:ind w:left="567"/>
              <w:jc w:val="both"/>
              <w:rPr>
                <w:rFonts w:ascii="Arial" w:eastAsia="Arial" w:hAnsi="Arial" w:cs="Arial"/>
                <w:sz w:val="24"/>
                <w:szCs w:val="24"/>
              </w:rPr>
            </w:pPr>
          </w:p>
        </w:tc>
        <w:tc>
          <w:tcPr>
            <w:tcW w:w="685" w:type="dxa"/>
          </w:tcPr>
          <w:p w:rsidR="00E06368" w:rsidRDefault="00203C43">
            <w:pPr>
              <w:ind w:left="211"/>
              <w:jc w:val="both"/>
              <w:rPr>
                <w:rFonts w:ascii="Arial" w:eastAsia="Arial" w:hAnsi="Arial" w:cs="Arial"/>
                <w:sz w:val="24"/>
                <w:szCs w:val="24"/>
              </w:rPr>
            </w:pPr>
            <w:r>
              <w:rPr>
                <w:rFonts w:ascii="Arial" w:eastAsia="Arial" w:hAnsi="Arial" w:cs="Arial"/>
                <w:sz w:val="24"/>
                <w:szCs w:val="24"/>
              </w:rPr>
              <w:t>=</w:t>
            </w:r>
          </w:p>
        </w:tc>
        <w:tc>
          <w:tcPr>
            <w:tcW w:w="3966" w:type="dxa"/>
          </w:tcPr>
          <w:p w:rsidR="00E06368" w:rsidRDefault="00203C43">
            <w:pPr>
              <w:ind w:left="145"/>
              <w:jc w:val="both"/>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E06368" w:rsidRDefault="00E06368">
            <w:pPr>
              <w:ind w:left="145"/>
              <w:jc w:val="both"/>
              <w:rPr>
                <w:rFonts w:ascii="Arial" w:eastAsia="Arial" w:hAnsi="Arial" w:cs="Arial"/>
                <w:sz w:val="24"/>
                <w:szCs w:val="24"/>
              </w:rPr>
            </w:pPr>
          </w:p>
        </w:tc>
      </w:tr>
    </w:tbl>
    <w:p w:rsidR="00E06368" w:rsidRDefault="00203C43">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E06368" w:rsidRDefault="00203C43">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w:t>
      </w:r>
      <w:r>
        <w:rPr>
          <w:rFonts w:ascii="Arial" w:eastAsia="Arial" w:hAnsi="Arial" w:cs="Arial"/>
          <w:color w:val="000000"/>
          <w:sz w:val="24"/>
          <w:szCs w:val="24"/>
        </w:rPr>
        <w:t>h process as soon as reasonably possible.</w:t>
      </w:r>
    </w:p>
    <w:p w:rsidR="00E06368" w:rsidRDefault="00203C43">
      <w:pPr>
        <w:keepNext/>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1.1 of Part B of this Schedule </w:t>
      </w:r>
      <w:r>
        <w:rPr>
          <w:rFonts w:ascii="Arial" w:eastAsia="Arial" w:hAnsi="Arial" w:cs="Arial"/>
          <w:color w:val="000000"/>
          <w:sz w:val="24"/>
          <w:szCs w:val="24"/>
        </w:rPr>
        <w:t>which shall contain, as a minimum, the following information in respect of the relevant Service Period just ended:</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summary of all failures to </w:t>
      </w:r>
      <w:r>
        <w:rPr>
          <w:rFonts w:ascii="Arial" w:eastAsia="Arial" w:hAnsi="Arial" w:cs="Arial"/>
          <w:color w:val="000000"/>
          <w:sz w:val="24"/>
          <w:szCs w:val="24"/>
        </w:rPr>
        <w:t>achieve Service Levels that occurred during that Service Period;</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Service Credits to be applied in respect of </w:t>
      </w:r>
      <w:r>
        <w:rPr>
          <w:rFonts w:ascii="Arial" w:eastAsia="Arial" w:hAnsi="Arial" w:cs="Arial"/>
          <w:color w:val="000000"/>
          <w:sz w:val="24"/>
          <w:szCs w:val="24"/>
        </w:rPr>
        <w:t>the relevant period indicating the failures and Service Levels to which the Service Credits relate; and</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E06368" w:rsidRDefault="00203C43">
      <w:pPr>
        <w:keepNext/>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w:t>
      </w:r>
      <w:bookmarkStart w:id="1" w:name="_GoBack"/>
      <w:bookmarkEnd w:id="1"/>
      <w:r>
        <w:rPr>
          <w:rFonts w:ascii="Arial" w:eastAsia="Arial" w:hAnsi="Arial" w:cs="Arial"/>
          <w:color w:val="000000"/>
          <w:sz w:val="24"/>
          <w:szCs w:val="24"/>
        </w:rPr>
        <w:t>he Buyer of the Performance Monitoring Reports.  The Performance Review Meetings shall:</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w:t>
      </w:r>
      <w:r>
        <w:rPr>
          <w:rFonts w:ascii="Arial" w:eastAsia="Arial" w:hAnsi="Arial" w:cs="Arial"/>
          <w:color w:val="000000"/>
          <w:sz w:val="24"/>
          <w:szCs w:val="24"/>
        </w:rPr>
        <w:t>epresentative; and</w:t>
      </w:r>
    </w:p>
    <w:p w:rsidR="00E06368" w:rsidRDefault="00203C43">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Service Credits for any specified Service Period.</w:t>
      </w:r>
    </w:p>
    <w:p w:rsidR="00E06368" w:rsidRDefault="00E06368">
      <w:pPr>
        <w:pBdr>
          <w:top w:val="nil"/>
          <w:left w:val="nil"/>
          <w:bottom w:val="nil"/>
          <w:right w:val="nil"/>
          <w:between w:val="nil"/>
        </w:pBdr>
        <w:spacing w:before="120" w:after="120" w:line="240" w:lineRule="auto"/>
        <w:ind w:left="1440" w:hanging="576"/>
        <w:jc w:val="both"/>
        <w:rPr>
          <w:rFonts w:ascii="Arial" w:eastAsia="Arial" w:hAnsi="Arial" w:cs="Arial"/>
          <w:color w:val="000000"/>
          <w:sz w:val="24"/>
          <w:szCs w:val="24"/>
        </w:rPr>
      </w:pPr>
    </w:p>
    <w:p w:rsidR="00E06368" w:rsidRDefault="00203C43">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rsidR="00E06368" w:rsidRDefault="00203C43">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Pr>
          <w:rFonts w:ascii="Arial" w:eastAsia="Arial" w:hAnsi="Arial" w:cs="Arial"/>
          <w:color w:val="000000"/>
          <w:sz w:val="24"/>
          <w:szCs w:val="24"/>
        </w:rPr>
        <w:t>Satisfaction Surveys reasonably suggest are not in accordance with this Contract.</w:t>
      </w:r>
    </w:p>
    <w:p w:rsidR="00E06368" w:rsidRDefault="00E0636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 w:name="_30j0zll" w:colFirst="0" w:colLast="0"/>
      <w:bookmarkEnd w:id="2"/>
    </w:p>
    <w:sectPr w:rsidR="00E06368">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C43" w:rsidRDefault="00203C43">
      <w:pPr>
        <w:spacing w:after="0" w:line="240" w:lineRule="auto"/>
      </w:pPr>
      <w:r>
        <w:separator/>
      </w:r>
    </w:p>
  </w:endnote>
  <w:endnote w:type="continuationSeparator" w:id="0">
    <w:p w:rsidR="00203C43" w:rsidRDefault="00203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368" w:rsidRDefault="00E06368">
    <w:pPr>
      <w:tabs>
        <w:tab w:val="center" w:pos="4513"/>
        <w:tab w:val="right" w:pos="9026"/>
      </w:tabs>
      <w:spacing w:after="0" w:line="240" w:lineRule="auto"/>
      <w:jc w:val="both"/>
    </w:pP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RM6248 Payment Solutions 2</w:t>
    </w: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75D74">
      <w:rPr>
        <w:rFonts w:ascii="Arial" w:eastAsia="Arial" w:hAnsi="Arial" w:cs="Arial"/>
        <w:color w:val="000000"/>
        <w:sz w:val="20"/>
        <w:szCs w:val="20"/>
      </w:rPr>
      <w:fldChar w:fldCharType="separate"/>
    </w:r>
    <w:r w:rsidR="00975D7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368" w:rsidRDefault="00E06368">
    <w:pPr>
      <w:tabs>
        <w:tab w:val="center" w:pos="4513"/>
        <w:tab w:val="right" w:pos="9026"/>
      </w:tabs>
      <w:spacing w:after="0" w:line="240" w:lineRule="auto"/>
      <w:jc w:val="both"/>
    </w:pP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06368" w:rsidRDefault="00203C4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C43" w:rsidRDefault="00203C43">
      <w:pPr>
        <w:spacing w:after="0" w:line="240" w:lineRule="auto"/>
      </w:pPr>
      <w:r>
        <w:separator/>
      </w:r>
    </w:p>
  </w:footnote>
  <w:footnote w:type="continuationSeparator" w:id="0">
    <w:p w:rsidR="00203C43" w:rsidRDefault="00203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E06368" w:rsidRDefault="00203C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E06368" w:rsidRDefault="00E0636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11A30"/>
    <w:multiLevelType w:val="multilevel"/>
    <w:tmpl w:val="3CD6359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72832FA"/>
    <w:multiLevelType w:val="multilevel"/>
    <w:tmpl w:val="743C882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5477C6D"/>
    <w:multiLevelType w:val="multilevel"/>
    <w:tmpl w:val="4E9AE5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076E6E"/>
    <w:multiLevelType w:val="multilevel"/>
    <w:tmpl w:val="8EE80110"/>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368"/>
    <w:rsid w:val="00203C43"/>
    <w:rsid w:val="00975D74"/>
    <w:rsid w:val="00E063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399668-088B-4032-90E4-198E498D3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the-sourcing-and-consultancy-playbook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1528</Words>
  <Characters>8715</Characters>
  <Application>Microsoft Office Word</Application>
  <DocSecurity>0</DocSecurity>
  <Lines>72</Lines>
  <Paragraphs>20</Paragraphs>
  <ScaleCrop>false</ScaleCrop>
  <Company>Cabinet Office</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2022-04-28T13:59:00Z</dcterms:created>
  <dcterms:modified xsi:type="dcterms:W3CDTF">2022-04-28T14:01:00Z</dcterms:modified>
</cp:coreProperties>
</file>